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68536">
      <w:pPr>
        <w:spacing w:before="380" w:after="140" w:line="288" w:lineRule="auto"/>
        <w:jc w:val="center"/>
        <w:outlineLvl w:val="0"/>
        <w:rPr>
          <w:rFonts w:hint="eastAsia" w:ascii="Arial" w:hAnsi="Arial" w:eastAsia="等线" w:cs="Arial"/>
          <w:b/>
          <w:sz w:val="52"/>
        </w:rPr>
      </w:pPr>
      <w:bookmarkStart w:id="24" w:name="_GoBack"/>
      <w:bookmarkStart w:id="0" w:name="heading_0"/>
      <w:r>
        <w:rPr>
          <w:rFonts w:hint="eastAsia" w:ascii="Arial" w:hAnsi="Arial" w:eastAsia="等线" w:cs="Arial"/>
          <w:b/>
          <w:sz w:val="52"/>
        </w:rPr>
        <w:t>东南大学成贤学院</w:t>
      </w:r>
    </w:p>
    <w:p w14:paraId="37551537">
      <w:pPr>
        <w:spacing w:before="380" w:after="140" w:line="288" w:lineRule="auto"/>
        <w:jc w:val="center"/>
        <w:outlineLvl w:val="0"/>
        <w:rPr>
          <w:rFonts w:ascii="Arial" w:hAnsi="Arial" w:eastAsia="等线" w:cs="Arial"/>
          <w:b/>
          <w:sz w:val="52"/>
        </w:rPr>
      </w:pPr>
      <w:r>
        <w:rPr>
          <w:rFonts w:hint="eastAsia" w:ascii="Arial" w:hAnsi="Arial" w:eastAsia="等线" w:cs="Arial"/>
          <w:b/>
          <w:sz w:val="52"/>
        </w:rPr>
        <w:t>第二届电工建模竞赛试题</w:t>
      </w:r>
      <w:bookmarkEnd w:id="24"/>
    </w:p>
    <w:p w14:paraId="67AAB743">
      <w:pPr>
        <w:spacing w:before="380" w:after="140" w:line="288" w:lineRule="auto"/>
        <w:outlineLvl w:val="0"/>
        <w:rPr>
          <w:rFonts w:hint="eastAsia"/>
        </w:rPr>
      </w:pPr>
      <w:r>
        <w:rPr>
          <w:rFonts w:ascii="Arial" w:hAnsi="Arial" w:eastAsia="等线" w:cs="Arial"/>
          <w:b/>
          <w:sz w:val="36"/>
        </w:rPr>
        <w:t>A题 电动汽车有序充电与配电网负荷协同优化问题</w:t>
      </w:r>
      <w:bookmarkEnd w:id="0"/>
    </w:p>
    <w:p w14:paraId="1B4567A6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hAnsi="Arial" w:eastAsia="等线" w:cs="Arial"/>
          <w:b/>
          <w:sz w:val="32"/>
        </w:rPr>
        <w:t>一、问题背景</w:t>
      </w:r>
      <w:bookmarkEnd w:id="1"/>
    </w:p>
    <w:p w14:paraId="50A60AC5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ascii="Arial" w:hAnsi="Arial" w:eastAsia="等线" w:cs="Arial"/>
        </w:rPr>
        <w:t>随着电动汽车（EV）规模化接入居民区、商业区及校园配电网，无序集中充电会造成配电网负荷峰上加峰、节点电压偏移、线路过载、变压器过载及网损增大等问题，严重影响配电网安全经济运行。通过引导电动汽车有序充电（分时充电、错峰充电、V2G 放电），可以在满足用户出行需求的前提下，平抑负荷波动、降低运行成本、提高电网接纳能力。</w:t>
      </w:r>
    </w:p>
    <w:p w14:paraId="0CF7FBA4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ascii="Arial" w:hAnsi="Arial" w:eastAsia="等线" w:cs="Arial"/>
        </w:rPr>
        <w:t>某区域配电网服务于居民小区与办公建筑，配有一定数量公共与私人充电桩。电动汽车用户具有不同的到达时间、离开时间、初始电量与出行需求，配电网存在峰谷分时电价、变压器容量限制、线路潮流约束等。请建立数学模型，实现电动汽车有序充放电优化。</w:t>
      </w:r>
    </w:p>
    <w:p w14:paraId="207D6E6A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hAnsi="Arial" w:eastAsia="等线" w:cs="Arial"/>
          <w:b/>
          <w:sz w:val="32"/>
        </w:rPr>
        <w:t>二、基本数据与假设</w:t>
      </w:r>
      <w:bookmarkEnd w:id="2"/>
    </w:p>
    <w:p w14:paraId="070195F4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hAnsi="Arial" w:eastAsia="等线" w:cs="Arial"/>
          <w:b/>
          <w:sz w:val="30"/>
        </w:rPr>
        <w:t>1. 配电网基础数据</w:t>
      </w:r>
      <w:bookmarkEnd w:id="3"/>
    </w:p>
    <w:p w14:paraId="62E26304">
      <w:pPr>
        <w:numPr>
          <w:ilvl w:val="0"/>
          <w:numId w:val="1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配电网典型日24小时原始基础负荷曲线（单位：kW）：00:00-06:00均为120kW，06:00-08:00升至200kW，08:00-17:00稳定在150kW，17:00-23:00升至250kW，23:00-00:00降至180kW；</w:t>
      </w:r>
    </w:p>
    <w:p w14:paraId="21FD8532">
      <w:pPr>
        <w:numPr>
          <w:ilvl w:val="0"/>
          <w:numId w:val="2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 xml:space="preserve">配电变压器额定容量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=800 kVA</m:t>
        </m:r>
      </m:oMath>
      <w:r>
        <w:rPr>
          <w:rFonts w:ascii="Arial" w:hAnsi="Arial" w:eastAsia="等线" w:cs="Arial"/>
        </w:rPr>
        <w:t>，功率因数固定为0.9（滞后），额定电流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hint="eastAsia" w:ascii="Cambria Math" w:hAnsi="Cambria Math"/>
          </w:rPr>
          <m:t>1215.77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hint="eastAsia" w:ascii="Cambria Math" w:hAnsi="Cambria Math"/>
          </w:rPr>
          <m:t>A</m:t>
        </m:r>
      </m:oMath>
      <w:r>
        <w:rPr>
          <w:rFonts w:ascii="Arial" w:hAnsi="Arial" w:eastAsia="等线" w:cs="Arial"/>
        </w:rPr>
        <w:t>；</w:t>
      </w:r>
    </w:p>
    <w:p w14:paraId="15EB827E">
      <w:pPr>
        <w:numPr>
          <w:ilvl w:val="0"/>
          <w:numId w:val="3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峰谷分时电价：谷段（00:00-07:00、23:00-00:00）0.28元/kWh，平段（07:00-11:00、19:00-23:00）0.52元/kWh，峰段（11:00-19:00）0.85元/kWh；</w:t>
      </w:r>
    </w:p>
    <w:p w14:paraId="06F9DF83">
      <w:pPr>
        <w:numPr>
          <w:ilvl w:val="0"/>
          <w:numId w:val="4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允许最大负荷不超过变压器额定容量的95%，即最大允许有功功率为684kW。</w:t>
      </w:r>
    </w:p>
    <w:p w14:paraId="3B005FDC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hAnsi="Arial" w:eastAsia="等线" w:cs="Arial"/>
          <w:b/>
          <w:sz w:val="30"/>
        </w:rPr>
        <w:t>2. 电动汽车用户数据</w:t>
      </w:r>
      <w:bookmarkEnd w:id="4"/>
    </w:p>
    <w:p w14:paraId="186A4867">
      <w:pPr>
        <w:numPr>
          <w:ilvl w:val="0"/>
          <w:numId w:val="5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区域内共有电动汽车200辆，其中私人电动汽车160辆、公共电动汽车40辆；</w:t>
      </w:r>
    </w:p>
    <w:p w14:paraId="406843DA">
      <w:pPr>
        <w:numPr>
          <w:ilvl w:val="0"/>
          <w:numId w:val="6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私人电动汽车：电池容量50kWh，充电功率3.3kW；公共电动汽车：电池容量70kWh，充电功率7kW；</w:t>
      </w:r>
    </w:p>
    <w:p w14:paraId="7AFFD104">
      <w:pPr>
        <w:numPr>
          <w:ilvl w:val="0"/>
          <w:numId w:val="7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车辆到达时间：17:00-19:00到达80辆，19:00-21:00到达70辆，21:00-23:00到达50辆；离开时间：06:00-07:00离开60辆，07:00-08:00离开90辆，08:00-09:00离开50辆；</w:t>
      </w:r>
    </w:p>
    <w:p w14:paraId="430289F4">
      <w:pPr>
        <w:numPr>
          <w:ilvl w:val="0"/>
          <w:numId w:val="8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所有车辆初始电量均为30%，用户期望离开时电量不低于80%，可接受充电调度的时间偏差不超过1小时。</w:t>
      </w:r>
    </w:p>
    <w:p w14:paraId="53732716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hAnsi="Arial" w:eastAsia="等线" w:cs="Arial"/>
          <w:b/>
          <w:sz w:val="30"/>
        </w:rPr>
        <w:t>3. 有序充电控制方式及假设</w:t>
      </w:r>
      <w:bookmarkEnd w:id="5"/>
    </w:p>
    <w:p w14:paraId="03AF61D8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基础建模仅考虑V1G（电网向车充电），拓展建模可允许V2G（车向电网放电）；</w:t>
      </w:r>
    </w:p>
    <w:p w14:paraId="7A494FB1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充电效率固定为90%，放电效率固定为85%，充电过程中功率保持恒定；</w:t>
      </w:r>
    </w:p>
    <w:p w14:paraId="69832A4A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不考虑电池老化成本、充电桩损耗，忽略充电过程中的电压波动影响；</w:t>
      </w:r>
    </w:p>
    <w:p w14:paraId="67FA55C9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假设所有电动汽车均接入统一调度系统，可实时响应调度指令，无充电故障。</w:t>
      </w:r>
    </w:p>
    <w:p w14:paraId="02BEF9B4">
      <w:pPr>
        <w:spacing w:before="320" w:after="120" w:line="288" w:lineRule="auto"/>
        <w:outlineLvl w:val="1"/>
        <w:rPr>
          <w:rFonts w:hint="eastAsia"/>
        </w:rPr>
      </w:pPr>
      <w:bookmarkStart w:id="6" w:name="heading_9"/>
      <w:r>
        <w:rPr>
          <w:rFonts w:ascii="Arial" w:hAnsi="Arial" w:eastAsia="等线" w:cs="Arial"/>
          <w:b/>
          <w:sz w:val="32"/>
        </w:rPr>
        <w:t>三、需要解决的问题</w:t>
      </w:r>
      <w:bookmarkEnd w:id="6"/>
    </w:p>
    <w:p w14:paraId="737E2323">
      <w:pPr>
        <w:numPr>
          <w:ilvl w:val="0"/>
          <w:numId w:val="13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建立无序充电场景下配电网总负荷模型，计算高峰负荷、峰谷差、变压器负载率，分析无序充电对配电网运行的影响。</w:t>
      </w:r>
    </w:p>
    <w:p w14:paraId="4916F120">
      <w:pPr>
        <w:numPr>
          <w:ilvl w:val="0"/>
          <w:numId w:val="14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以削峰填谷、降低电网运行成本为目标，建立电动汽车分时有序充电优化模型，确定各时段最优充电功率与车辆调度方案。</w:t>
      </w:r>
    </w:p>
    <w:p w14:paraId="102D2953">
      <w:pPr>
        <w:numPr>
          <w:ilvl w:val="0"/>
          <w:numId w:val="15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引入用户满意度（等待时间、期望电量满足率），建立“电网运行成本 + 用户满意度”的多目标优化模型，给出 Pareto 最优解集并分析权衡关系。</w:t>
      </w:r>
    </w:p>
    <w:p w14:paraId="2F9720AE">
      <w:pPr>
        <w:numPr>
          <w:ilvl w:val="0"/>
          <w:numId w:val="16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若允许部分电动汽车参与V2G放电，建立车网互动优化模型，对比分析V2G对峰荷抑制、电网收益的提升效果。</w:t>
      </w:r>
    </w:p>
    <w:p w14:paraId="53CD90A5">
      <w:pPr>
        <w:numPr>
          <w:ilvl w:val="0"/>
          <w:numId w:val="17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针对该区域配电网，提出一套可落地的电动汽车有序充电运营策略，并撰写简短实施建议。</w:t>
      </w:r>
    </w:p>
    <w:p w14:paraId="1032F731">
      <w:pPr>
        <w:spacing w:before="320" w:after="120" w:line="288" w:lineRule="auto"/>
        <w:outlineLvl w:val="1"/>
        <w:rPr>
          <w:rFonts w:hint="eastAsia"/>
        </w:rPr>
      </w:pPr>
      <w:bookmarkStart w:id="7" w:name="heading_10"/>
      <w:r>
        <w:rPr>
          <w:rFonts w:ascii="Arial" w:hAnsi="Arial" w:eastAsia="等线" w:cs="Arial"/>
          <w:b/>
          <w:sz w:val="32"/>
        </w:rPr>
        <w:t>四、论文写作要求</w:t>
      </w:r>
      <w:bookmarkEnd w:id="7"/>
    </w:p>
    <w:p w14:paraId="0E41BFD6">
      <w:pPr>
        <w:numPr>
          <w:ilvl w:val="0"/>
          <w:numId w:val="18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模型假设合理，符合工程实际，变量、约束、目标函数定义清晰。</w:t>
      </w:r>
    </w:p>
    <w:p w14:paraId="0B692E97">
      <w:pPr>
        <w:numPr>
          <w:ilvl w:val="0"/>
          <w:numId w:val="19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可采用线性规划、整数规划、智能优化算法（遗传算法、粒子群等）求解，需说明算法流程与收敛性。</w:t>
      </w:r>
    </w:p>
    <w:p w14:paraId="5D2D1305">
      <w:pPr>
        <w:numPr>
          <w:ilvl w:val="0"/>
          <w:numId w:val="20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给出关键曲线：负荷曲线、充电功率时序分布、变压器负载率对比等。</w:t>
      </w:r>
    </w:p>
    <w:p w14:paraId="253FA18D">
      <w:pPr>
        <w:numPr>
          <w:ilvl w:val="0"/>
          <w:numId w:val="21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结果量化分析充分，结论具有工程参考价值。</w:t>
      </w:r>
    </w:p>
    <w:p w14:paraId="152565EF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rPr>
          <w:rFonts w:hint="eastAsia"/>
        </w:rPr>
      </w:pPr>
    </w:p>
    <w:p w14:paraId="56C42EC8">
      <w:pPr>
        <w:spacing w:before="380" w:after="140" w:line="288" w:lineRule="auto"/>
        <w:outlineLvl w:val="0"/>
        <w:rPr>
          <w:rFonts w:hint="eastAsia"/>
        </w:rPr>
      </w:pPr>
      <w:bookmarkStart w:id="8" w:name="heading_11"/>
      <w:r>
        <w:rPr>
          <w:rFonts w:ascii="Arial" w:hAnsi="Arial" w:eastAsia="等线" w:cs="Arial"/>
          <w:b/>
          <w:sz w:val="36"/>
        </w:rPr>
        <w:t>B题 校园宿舍区用电负荷优化与安全管控建模</w:t>
      </w:r>
      <w:bookmarkEnd w:id="8"/>
    </w:p>
    <w:p w14:paraId="3F4387E5">
      <w:pPr>
        <w:spacing w:before="320" w:after="120" w:line="288" w:lineRule="auto"/>
        <w:outlineLvl w:val="1"/>
        <w:rPr>
          <w:rFonts w:hint="eastAsia"/>
        </w:rPr>
      </w:pPr>
      <w:bookmarkStart w:id="9" w:name="heading_12"/>
      <w:r>
        <w:rPr>
          <w:rFonts w:ascii="Arial" w:hAnsi="Arial" w:eastAsia="等线" w:cs="Arial"/>
          <w:b/>
          <w:sz w:val="32"/>
        </w:rPr>
        <w:t>一、问题背景</w:t>
      </w:r>
      <w:bookmarkEnd w:id="9"/>
    </w:p>
    <w:p w14:paraId="1CC142D8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ascii="Arial" w:hAnsi="Arial" w:eastAsia="等线" w:cs="Arial"/>
        </w:rPr>
        <w:t>大学校园宿舍区是用电集中区域，涉及学生日常用电（照明、电脑、空调、充电器等），存在用电负荷波动大、大功率违规电器使用隐患、能耗浪费、供电可靠性不足等问题，与大学生日常生活密切相关。校园宿舍区供电系统受变压器容量、线路载流量限制，高峰时段（如晚间20:00-23:00）易出现电压跌落、跳闸等情况；同时，违规用电不仅存在安全风险，还会导致能耗激增。</w:t>
      </w:r>
    </w:p>
    <w:p w14:paraId="3D2E2C77">
      <w:pPr>
        <w:spacing w:before="120" w:after="120" w:line="288" w:lineRule="auto"/>
        <w:ind w:firstLine="440" w:firstLineChars="200"/>
        <w:jc w:val="both"/>
        <w:rPr>
          <w:rFonts w:hint="eastAsia"/>
        </w:rPr>
      </w:pPr>
      <w:r>
        <w:rPr>
          <w:rFonts w:ascii="Arial" w:hAnsi="Arial" w:eastAsia="等线" w:cs="Arial"/>
        </w:rPr>
        <w:t>基于校园宿舍区实际用电数据，建立用电负荷优化与安全管控数学模型，既能保障学生正常用电需求、提升供电安全性，又能实现节能降耗、降低校园用电成本，贴合大学生生活实际，具有较强的工程实践意义。</w:t>
      </w:r>
    </w:p>
    <w:p w14:paraId="2F6C9C76">
      <w:pPr>
        <w:spacing w:before="320" w:after="120" w:line="288" w:lineRule="auto"/>
        <w:outlineLvl w:val="1"/>
        <w:rPr>
          <w:rFonts w:hint="eastAsia"/>
        </w:rPr>
      </w:pPr>
      <w:bookmarkStart w:id="10" w:name="heading_13"/>
      <w:r>
        <w:rPr>
          <w:rFonts w:ascii="Arial" w:hAnsi="Arial" w:eastAsia="等线" w:cs="Arial"/>
          <w:b/>
          <w:sz w:val="32"/>
        </w:rPr>
        <w:t>二、基本数据与假设</w:t>
      </w:r>
      <w:bookmarkEnd w:id="10"/>
    </w:p>
    <w:p w14:paraId="74BB1C6D">
      <w:pPr>
        <w:spacing w:before="300" w:after="120" w:line="288" w:lineRule="auto"/>
        <w:outlineLvl w:val="2"/>
        <w:rPr>
          <w:rFonts w:hint="eastAsia"/>
        </w:rPr>
      </w:pPr>
      <w:bookmarkStart w:id="11" w:name="heading_14"/>
      <w:r>
        <w:rPr>
          <w:rFonts w:ascii="Arial" w:hAnsi="Arial" w:eastAsia="等线" w:cs="Arial"/>
          <w:b/>
          <w:sz w:val="30"/>
        </w:rPr>
        <w:t>1. 校园宿舍区基础数据</w:t>
      </w:r>
      <w:bookmarkEnd w:id="11"/>
    </w:p>
    <w:p w14:paraId="493E7F54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某宿舍楼共12层，每层20间宿舍，每间宿舍4人，配置独立电表；</w:t>
      </w:r>
    </w:p>
    <w:p w14:paraId="7DA78B8F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供电变压器参数：额定容量500kVA，额定电压380V/220V，负载率安全阈值≤85%；</w:t>
      </w:r>
    </w:p>
    <w:p w14:paraId="1FA1E92F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宿舍区典型日24小时用电负荷基础数据（具体数据见</w:t>
      </w:r>
      <w:r>
        <w:rPr>
          <w:rFonts w:ascii="Arial" w:hAnsi="Arial" w:eastAsia="等线" w:cs="Arial"/>
          <w:b/>
          <w:bCs/>
          <w:shd w:val="pct15" w:color="auto" w:fill="FFFFFF"/>
        </w:rPr>
        <w:t>附件1</w:t>
      </w:r>
      <w:r>
        <w:rPr>
          <w:rFonts w:ascii="Arial" w:hAnsi="Arial" w:eastAsia="等线" w:cs="Arial"/>
        </w:rPr>
        <w:t>），区分工作日与周末差异；</w:t>
      </w:r>
    </w:p>
    <w:p w14:paraId="217B69D9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校园电价：学生宿舍统一电价0.65元/kWh，超额用电（月均超过80kWh/间）执行加价0.2元/kWh。</w:t>
      </w:r>
    </w:p>
    <w:p w14:paraId="7DCDF782">
      <w:pPr>
        <w:spacing w:before="300" w:after="120" w:line="288" w:lineRule="auto"/>
        <w:outlineLvl w:val="2"/>
        <w:rPr>
          <w:rFonts w:hint="eastAsia"/>
        </w:rPr>
      </w:pPr>
      <w:bookmarkStart w:id="12" w:name="heading_22"/>
      <w:r>
        <w:rPr>
          <w:rFonts w:ascii="Arial" w:hAnsi="Arial" w:eastAsia="等线" w:cs="Arial"/>
          <w:b/>
          <w:sz w:val="30"/>
        </w:rPr>
        <w:t>2. 宿舍用电设备与需求数据</w:t>
      </w:r>
      <w:bookmarkEnd w:id="12"/>
    </w:p>
    <w:p w14:paraId="619D2F16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常规用电设备：照明（40W/盏，每间2盏）、电脑（300W/台，每间4台）、空调（1.5匹，制冷功率1100W、制热功率1200W，每间1台）、手机充电器（10W/个）等；</w:t>
      </w:r>
    </w:p>
    <w:p w14:paraId="66243861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违规电器：电磁炉（2000W）、电暖器（1500W）等，禁止使用但存在违规使用情况；</w:t>
      </w:r>
    </w:p>
    <w:p w14:paraId="1693D5D4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学生用电习惯：工作日早6:00-8:00、晚18:00-23:00为用电高峰，周末用电高峰延长至次日00:30；</w:t>
      </w:r>
    </w:p>
    <w:p w14:paraId="407EF1C5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学生可接受的用电约束：空调温度调节范围（夏季26℃±2℃，冬季20℃±2℃），非必要设备可错峰使用。</w:t>
      </w:r>
    </w:p>
    <w:p w14:paraId="610DDE8B">
      <w:pPr>
        <w:spacing w:before="300" w:after="120" w:line="288" w:lineRule="auto"/>
        <w:outlineLvl w:val="2"/>
        <w:rPr>
          <w:rFonts w:hint="eastAsia"/>
        </w:rPr>
      </w:pPr>
      <w:bookmarkStart w:id="13" w:name="heading_23"/>
      <w:r>
        <w:rPr>
          <w:rFonts w:ascii="Arial" w:hAnsi="Arial" w:eastAsia="等线" w:cs="Arial"/>
          <w:b/>
          <w:sz w:val="30"/>
        </w:rPr>
        <w:t>3. 安全与节能约束</w:t>
      </w:r>
      <w:bookmarkEnd w:id="13"/>
    </w:p>
    <w:p w14:paraId="6C1F5B6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每间宿舍最大允许用电功率≤2000W，严禁超过阈值；</w:t>
      </w:r>
    </w:p>
    <w:p w14:paraId="0A016CC3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供电线路载流量约束：每层线路最大允许电流≤100A；</w:t>
      </w:r>
    </w:p>
    <w:p w14:paraId="73B6241E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节能目标：在不影响学生正常用电的前提下，降低宿舍区日平均能耗10%以上。</w:t>
      </w:r>
    </w:p>
    <w:p w14:paraId="2D948457">
      <w:pPr>
        <w:spacing w:before="320" w:after="120" w:line="288" w:lineRule="auto"/>
        <w:outlineLvl w:val="1"/>
        <w:rPr>
          <w:rFonts w:hint="eastAsia"/>
        </w:rPr>
      </w:pPr>
      <w:bookmarkStart w:id="14" w:name="heading_24"/>
      <w:r>
        <w:rPr>
          <w:rFonts w:ascii="Arial" w:hAnsi="Arial" w:eastAsia="等线" w:cs="Arial"/>
          <w:b/>
          <w:sz w:val="32"/>
        </w:rPr>
        <w:t>三、需要解决的问题</w:t>
      </w:r>
      <w:bookmarkEnd w:id="14"/>
    </w:p>
    <w:p w14:paraId="35A5D7BF">
      <w:pPr>
        <w:numPr>
          <w:ilvl w:val="0"/>
          <w:numId w:val="33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建立校园宿舍区用电负荷预测模型，结合学生作息规律，预测工作日、周末典型日24小时负荷曲线，分析负荷波动特征及高峰负荷成因。</w:t>
      </w:r>
    </w:p>
    <w:p w14:paraId="36528192">
      <w:pPr>
        <w:numPr>
          <w:ilvl w:val="0"/>
          <w:numId w:val="34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以“供电安全+节能降耗”为双目标，建立宿舍区用电负荷优化模型，确定各时段空调、电脑等主要设备的最优使用方案，平抑负荷波动，确保变压器、线路负载率在安全范围。</w:t>
      </w:r>
    </w:p>
    <w:p w14:paraId="164186F2">
      <w:pPr>
        <w:numPr>
          <w:ilvl w:val="0"/>
          <w:numId w:val="35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引入违规用电识别模型，基于负荷特征（功率突变、持续高功率等），建立违规电器使用的识别方法，给出管控策略（如预警、限电）。</w:t>
      </w:r>
    </w:p>
    <w:p w14:paraId="6AE2C1A3">
      <w:pPr>
        <w:numPr>
          <w:ilvl w:val="0"/>
          <w:numId w:val="36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考虑学生用电满意度（用电便利性、设备使用限制），建立多目标优化模型，平衡供电安全、节能与学生体验，给出最优折中方案。</w:t>
      </w:r>
    </w:p>
    <w:p w14:paraId="182B6E3F">
      <w:pPr>
        <w:numPr>
          <w:ilvl w:val="0"/>
          <w:numId w:val="37"/>
        </w:numPr>
        <w:spacing w:before="120" w:after="120" w:line="288" w:lineRule="auto"/>
        <w:jc w:val="both"/>
        <w:rPr>
          <w:rFonts w:hint="eastAsia"/>
        </w:rPr>
      </w:pPr>
      <w:r>
        <w:rPr>
          <w:rFonts w:ascii="Arial" w:hAnsi="Arial" w:eastAsia="等线" w:cs="Arial"/>
        </w:rPr>
        <w:t>针对校园后勤管理部门，撰写一页式宿舍用电管控与节能建议，包含方案可行性、预期节能效果及安全管控措施。</w:t>
      </w:r>
    </w:p>
    <w:p w14:paraId="55312D3E">
      <w:pPr>
        <w:spacing w:before="320" w:after="120" w:line="288" w:lineRule="auto"/>
        <w:outlineLvl w:val="1"/>
        <w:rPr>
          <w:rFonts w:hint="eastAsia"/>
        </w:rPr>
      </w:pPr>
      <w:bookmarkStart w:id="15" w:name="heading_25"/>
      <w:r>
        <w:rPr>
          <w:rFonts w:ascii="Arial" w:hAnsi="Arial" w:eastAsia="等线" w:cs="Arial"/>
          <w:b/>
          <w:sz w:val="32"/>
        </w:rPr>
        <w:t>四、论文写作要求</w:t>
      </w:r>
      <w:bookmarkEnd w:id="15"/>
    </w:p>
    <w:p w14:paraId="5AA192DE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模型假设贴合校园实际，变量定义清晰，约束条件符合宿舍用电规范与供电安全要求。</w:t>
      </w:r>
    </w:p>
    <w:p w14:paraId="038C2558">
      <w:pPr>
        <w:numPr>
          <w:ilvl w:val="0"/>
          <w:numId w:val="39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可采用时间序列预测、线性规划、智能优化算法等方法求解，说明算法原理、流程及收敛性。</w:t>
      </w:r>
    </w:p>
    <w:p w14:paraId="32815A84">
      <w:pPr>
        <w:numPr>
          <w:ilvl w:val="0"/>
          <w:numId w:val="40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给出关键图表：负荷预测曲线、优化前后负荷对比、设备使用调度方案等，量化节能效果与安全提升程度。</w:t>
      </w:r>
    </w:p>
    <w:p w14:paraId="277A409D">
      <w:pPr>
        <w:numPr>
          <w:ilvl w:val="0"/>
          <w:numId w:val="41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结论贴合大学生生活实际，具有可操作性，体现电工建模在校园用电管理中的应用价值。</w:t>
      </w:r>
    </w:p>
    <w:p w14:paraId="7CF1208B">
      <w:pPr>
        <w:spacing w:before="300" w:after="120" w:line="288" w:lineRule="auto"/>
        <w:outlineLvl w:val="2"/>
        <w:rPr>
          <w:rFonts w:hint="eastAsia"/>
        </w:rPr>
      </w:pPr>
      <w:bookmarkStart w:id="16" w:name="heading_15"/>
      <w:r>
        <w:rPr>
          <w:rFonts w:ascii="Arial" w:hAnsi="Arial" w:eastAsia="等线" w:cs="Arial"/>
          <w:b/>
          <w:sz w:val="30"/>
        </w:rPr>
        <w:t>附件1：校园宿舍区具体用电基础数据（可单独作为附件发放）</w:t>
      </w:r>
      <w:bookmarkEnd w:id="16"/>
    </w:p>
    <w:p w14:paraId="497A72E6">
      <w:pPr>
        <w:spacing w:before="260" w:after="120" w:line="288" w:lineRule="auto"/>
        <w:outlineLvl w:val="3"/>
        <w:rPr>
          <w:rFonts w:hint="eastAsia"/>
        </w:rPr>
      </w:pPr>
      <w:bookmarkStart w:id="17" w:name="heading_16"/>
      <w:r>
        <w:rPr>
          <w:rFonts w:ascii="Arial" w:hAnsi="Arial" w:eastAsia="等线" w:cs="Arial"/>
          <w:b/>
          <w:sz w:val="28"/>
        </w:rPr>
        <w:t>1. 宿舍楼基础参数补充</w:t>
      </w:r>
      <w:bookmarkEnd w:id="17"/>
    </w:p>
    <w:p w14:paraId="7996CBE0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某宿舍楼共12层，每层20间宿舍，每间宿舍4人，总住宿人数960人；每间宿舍配置独立单相电表，每层配置1个总电表，宿舍楼总进线配置1个高压电表；供电线路采用铜芯电缆，导线截面25mm²，敷设方式为穿管暗敷，线路电阻0.737Ω/km，电抗0.08Ω/km。</w:t>
      </w:r>
    </w:p>
    <w:p w14:paraId="291846EA">
      <w:pPr>
        <w:spacing w:before="260" w:after="120" w:line="288" w:lineRule="auto"/>
        <w:outlineLvl w:val="3"/>
        <w:rPr>
          <w:rFonts w:hint="eastAsia"/>
        </w:rPr>
      </w:pPr>
      <w:bookmarkStart w:id="18" w:name="heading_17"/>
      <w:r>
        <w:rPr>
          <w:rFonts w:ascii="Arial" w:hAnsi="Arial" w:eastAsia="等线" w:cs="Arial"/>
          <w:b/>
          <w:sz w:val="28"/>
        </w:rPr>
        <w:t>2. 配电变压器详细参数</w:t>
      </w:r>
      <w:bookmarkEnd w:id="18"/>
    </w:p>
    <w:p w14:paraId="23654046">
      <w:pPr>
        <w:numPr>
          <w:ilvl w:val="0"/>
          <w:numId w:val="42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额定容量：500kVA</w:t>
      </w:r>
    </w:p>
    <w:p w14:paraId="7E5F78EB">
      <w:pPr>
        <w:numPr>
          <w:ilvl w:val="0"/>
          <w:numId w:val="43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额定电压：高压10kV，低压380V/220V</w:t>
      </w:r>
    </w:p>
    <w:p w14:paraId="2FAED81E">
      <w:pPr>
        <w:numPr>
          <w:ilvl w:val="0"/>
          <w:numId w:val="44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短路电压：4.5%</w:t>
      </w:r>
    </w:p>
    <w:p w14:paraId="61A5BD67">
      <w:pPr>
        <w:numPr>
          <w:ilvl w:val="0"/>
          <w:numId w:val="45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空载损耗：780W</w:t>
      </w:r>
    </w:p>
    <w:p w14:paraId="2E6015B3">
      <w:pPr>
        <w:numPr>
          <w:ilvl w:val="0"/>
          <w:numId w:val="46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负载损耗：4800W（额定负载下）</w:t>
      </w:r>
    </w:p>
    <w:p w14:paraId="372D427A">
      <w:pPr>
        <w:numPr>
          <w:ilvl w:val="0"/>
          <w:numId w:val="47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负载率安全阈值：≤85%，警戒阈值：≥80%</w:t>
      </w:r>
    </w:p>
    <w:p w14:paraId="5E5C22FA">
      <w:pPr>
        <w:numPr>
          <w:ilvl w:val="0"/>
          <w:numId w:val="48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接线方式：Yyn0</w:t>
      </w:r>
    </w:p>
    <w:p w14:paraId="0FB6B6CD">
      <w:pPr>
        <w:spacing w:before="260" w:after="120" w:line="288" w:lineRule="auto"/>
        <w:outlineLvl w:val="3"/>
        <w:rPr>
          <w:rFonts w:hint="eastAsia"/>
        </w:rPr>
      </w:pPr>
      <w:bookmarkStart w:id="19" w:name="heading_18"/>
      <w:r>
        <w:rPr>
          <w:rFonts w:ascii="Arial" w:hAnsi="Arial" w:eastAsia="等线" w:cs="Arial"/>
          <w:b/>
          <w:sz w:val="28"/>
        </w:rPr>
        <w:t>3. 宿舍区典型日24小时用电负荷数据（单位：kW）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71EEE9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F921D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时段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552DA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工作日负荷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859D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周末负荷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ACB6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时段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9B011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工作日负荷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455DD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周末负荷</w:t>
            </w:r>
          </w:p>
        </w:tc>
      </w:tr>
      <w:tr w14:paraId="06DC6B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C363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00:00-01:00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96959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85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B552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F4AA7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12:00-13:00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FE86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4458A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180</w:t>
            </w:r>
          </w:p>
        </w:tc>
      </w:tr>
      <w:tr w14:paraId="60928C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488A1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01:00-02:00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A69B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79562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AB801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13:00-14:00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1CB51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145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1AAC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175</w:t>
            </w:r>
          </w:p>
        </w:tc>
      </w:tr>
      <w:tr w14:paraId="3112EF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531BD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02:00-03:00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209A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78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A594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12AA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14:00-15:00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D30F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155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B47E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190</w:t>
            </w:r>
          </w:p>
        </w:tc>
      </w:tr>
      <w:tr w14:paraId="3B5A77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3D45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03:00-04:00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4CB63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75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B9C5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108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A57F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15:00-16:00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D0003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160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63AC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195</w:t>
            </w:r>
          </w:p>
        </w:tc>
      </w:tr>
      <w:tr w14:paraId="0AB30B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4903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04:00-05:00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CDB2D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76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147B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8B60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16:00-17:00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D25FA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170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6E16E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205</w:t>
            </w:r>
          </w:p>
        </w:tc>
      </w:tr>
      <w:tr w14:paraId="66CE6E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5A11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05:00-06:00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14BC3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82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46D5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30229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17:00-18:00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6C62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C5ED2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230</w:t>
            </w:r>
          </w:p>
        </w:tc>
      </w:tr>
      <w:tr w14:paraId="48EA21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1CB92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06:00-07:00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B5B3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7D34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160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22E41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18:00-19:00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5421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44079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290</w:t>
            </w:r>
          </w:p>
        </w:tc>
      </w:tr>
      <w:tr w14:paraId="102C9E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6C00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07:00-08:00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2565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61F9E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185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7C118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19:00-20:00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7A79C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320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5E91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330</w:t>
            </w:r>
          </w:p>
        </w:tc>
      </w:tr>
      <w:tr w14:paraId="3C663A6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852A2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08:00-09:00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6D8A2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1992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CCF33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20:00-21:00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59831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350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C604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360</w:t>
            </w:r>
          </w:p>
        </w:tc>
      </w:tr>
      <w:tr w14:paraId="59735F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BDE4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09:00-10:00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C427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E6077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78688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21:00-22:00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0C5F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340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7047A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355</w:t>
            </w:r>
          </w:p>
        </w:tc>
      </w:tr>
      <w:tr w14:paraId="471849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0725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10:00-11:00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EEC5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D87B1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B733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22:00-23:00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087C8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290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5EC5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320</w:t>
            </w:r>
          </w:p>
        </w:tc>
      </w:tr>
      <w:tr w14:paraId="12BEA2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FFED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11:00-12:00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F391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F1FA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DDE6D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23:00-00:00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ABB23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A08C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250</w:t>
            </w:r>
          </w:p>
        </w:tc>
      </w:tr>
    </w:tbl>
    <w:p w14:paraId="3660EF9E">
      <w:pPr>
        <w:spacing w:before="260" w:after="120" w:line="288" w:lineRule="auto"/>
        <w:outlineLvl w:val="3"/>
        <w:rPr>
          <w:rFonts w:hint="eastAsia"/>
        </w:rPr>
      </w:pPr>
      <w:bookmarkStart w:id="20" w:name="heading_19"/>
      <w:r>
        <w:rPr>
          <w:rFonts w:ascii="Arial" w:hAnsi="Arial" w:eastAsia="等线" w:cs="Arial"/>
          <w:b/>
          <w:sz w:val="28"/>
        </w:rPr>
        <w:t>4. 宿舍用电设备详细参数</w:t>
      </w:r>
      <w:bookmarkEnd w:id="2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362FBD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5549E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设备类型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C1187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功率（W）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969F8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每间宿舍数量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327BD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日均使用时长（h）（工作日）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82C91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日均使用时长（h）（周末）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28547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使用时段分布</w:t>
            </w:r>
          </w:p>
        </w:tc>
      </w:tr>
      <w:tr w14:paraId="683C61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36CEA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LED照明灯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62FC3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3351E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97B3E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9CDF8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F71C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06:00-08:00、18:00-23:00</w:t>
            </w:r>
          </w:p>
        </w:tc>
      </w:tr>
      <w:tr w14:paraId="28D4EA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F75D1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笔记本电脑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7B60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300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01CE9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4台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21113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5FE9D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59869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08:00-12:00、14:00-23:00</w:t>
            </w:r>
          </w:p>
        </w:tc>
      </w:tr>
      <w:tr w14:paraId="61DC78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21DD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1.5匹空调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006D8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1100（制冷）/1200（制热）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34D5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B817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8（夏季）/6（冬季）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1765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12（夏季）/8（冬季）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49F9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夏季14:00-23:00、冬季18:00-23:00</w:t>
            </w:r>
          </w:p>
        </w:tc>
      </w:tr>
      <w:tr w14:paraId="121383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0A84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手机充电器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54287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6037E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4个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0D96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236F1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27732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随机分布，主要集中在18:00-23:00</w:t>
            </w:r>
          </w:p>
        </w:tc>
      </w:tr>
      <w:tr w14:paraId="4EB3C1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9FA75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路由器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A04D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877A1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25F4A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E60D7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5F279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全天运行</w:t>
            </w:r>
          </w:p>
        </w:tc>
      </w:tr>
      <w:tr w14:paraId="111866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A131D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违规电器（电磁炉）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C36B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2000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D16DA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违规使用，约5%宿舍偶尔使用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27E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0.5（违规）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789F7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1（违规）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46EB8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11:00-13:00、17:00-19:00</w:t>
            </w:r>
          </w:p>
        </w:tc>
      </w:tr>
      <w:tr w14:paraId="0E484C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5D62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违规电器（电暖器）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6247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1500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0970F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违规使用，约8%宿舍偶尔使用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FE109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2（违规，冬季）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8CDCB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3（违规，冬季）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BAF13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20:00-23:00</w:t>
            </w:r>
          </w:p>
        </w:tc>
      </w:tr>
    </w:tbl>
    <w:p w14:paraId="06BC4F49">
      <w:pPr>
        <w:spacing w:before="260" w:after="120" w:line="288" w:lineRule="auto"/>
        <w:outlineLvl w:val="3"/>
        <w:rPr>
          <w:rFonts w:hint="eastAsia"/>
        </w:rPr>
      </w:pPr>
      <w:bookmarkStart w:id="21" w:name="heading_20"/>
      <w:r>
        <w:rPr>
          <w:rFonts w:ascii="Arial" w:hAnsi="Arial" w:eastAsia="等线" w:cs="Arial"/>
          <w:b/>
          <w:sz w:val="28"/>
        </w:rPr>
        <w:t>5. 电价与能耗相关补充数据</w:t>
      </w:r>
      <w:bookmarkEnd w:id="21"/>
    </w:p>
    <w:p w14:paraId="013A4A90">
      <w:pPr>
        <w:numPr>
          <w:ilvl w:val="0"/>
          <w:numId w:val="49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基础电价：0.65元/kWh（月均用电量≤80kWh/间）</w:t>
      </w:r>
    </w:p>
    <w:p w14:paraId="344B1BC7">
      <w:pPr>
        <w:numPr>
          <w:ilvl w:val="0"/>
          <w:numId w:val="50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超额电价：0.85元/kWh（月均用电量&gt;80kWh/间）</w:t>
      </w:r>
    </w:p>
    <w:p w14:paraId="4075743D">
      <w:pPr>
        <w:numPr>
          <w:ilvl w:val="0"/>
          <w:numId w:val="51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宿舍日均基础用电量（参考值）：工作日12.4kWh/间，周末15.2kWh/间（月均用电量：工作日372kWh/间、周末456kWh/间）</w:t>
      </w:r>
    </w:p>
    <w:p w14:paraId="74F9306C">
      <w:pPr>
        <w:numPr>
          <w:ilvl w:val="0"/>
          <w:numId w:val="52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节能奖励：若宿舍月均能耗较参考值降低15%以上，减免当月10%电费</w:t>
      </w:r>
    </w:p>
    <w:p w14:paraId="16C382BE">
      <w:pPr>
        <w:spacing w:before="260" w:after="120" w:line="288" w:lineRule="auto"/>
        <w:outlineLvl w:val="3"/>
        <w:rPr>
          <w:rFonts w:hint="eastAsia"/>
        </w:rPr>
      </w:pPr>
      <w:bookmarkStart w:id="22" w:name="heading_21"/>
      <w:r>
        <w:rPr>
          <w:rFonts w:ascii="Arial" w:hAnsi="Arial" w:eastAsia="等线" w:cs="Arial"/>
          <w:b/>
          <w:sz w:val="28"/>
        </w:rPr>
        <w:t>6. 安全约束补充数据</w:t>
      </w:r>
      <w:bookmarkEnd w:id="22"/>
    </w:p>
    <w:p w14:paraId="657B6EE4">
      <w:pPr>
        <w:numPr>
          <w:ilvl w:val="0"/>
          <w:numId w:val="53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每间宿舍最大允许用电功率：≤2000W，瞬时功率超2200W触发跳闸</w:t>
      </w:r>
    </w:p>
    <w:p w14:paraId="4B59FFB0">
      <w:pPr>
        <w:numPr>
          <w:ilvl w:val="0"/>
          <w:numId w:val="54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每层线路最大允许电流：≤100A，长期运行电流≤80A（避免过载）</w:t>
      </w:r>
    </w:p>
    <w:p w14:paraId="56B2DB21">
      <w:pPr>
        <w:numPr>
          <w:ilvl w:val="0"/>
          <w:numId w:val="55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电压允许偏差：±7%（220V电压范围：204.6V-235.4V）</w:t>
      </w:r>
    </w:p>
    <w:p w14:paraId="268D52D0">
      <w:pPr>
        <w:numPr>
          <w:ilvl w:val="0"/>
          <w:numId w:val="56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违规用电功率阈值：瞬时功率≥1800W且持续时间≥30s，判定为疑似违规</w:t>
      </w:r>
    </w:p>
    <w:p w14:paraId="180D8587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rPr>
          <w:rFonts w:hint="eastAsia"/>
        </w:rPr>
      </w:pPr>
    </w:p>
    <w:p w14:paraId="59C85240">
      <w:pPr>
        <w:spacing w:before="380" w:after="140" w:line="288" w:lineRule="auto"/>
        <w:outlineLvl w:val="0"/>
        <w:rPr>
          <w:rFonts w:hint="eastAsia"/>
          <w:color w:val="FF0000"/>
        </w:rPr>
      </w:pPr>
      <w:bookmarkStart w:id="23" w:name="heading_26"/>
      <w:r>
        <w:rPr>
          <w:rFonts w:ascii="Arial" w:hAnsi="Arial" w:eastAsia="等线" w:cs="Arial"/>
          <w:b/>
          <w:color w:val="FF0000"/>
          <w:sz w:val="36"/>
        </w:rPr>
        <w:t>竞赛通用说明</w:t>
      </w:r>
      <w:bookmarkEnd w:id="23"/>
    </w:p>
    <w:p w14:paraId="750842A7">
      <w:pPr>
        <w:numPr>
          <w:ilvl w:val="0"/>
          <w:numId w:val="57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参赛队每队</w:t>
      </w:r>
      <w:r>
        <w:rPr>
          <w:rFonts w:hint="eastAsia" w:ascii="Arial" w:hAnsi="Arial" w:eastAsia="等线" w:cs="Arial"/>
        </w:rPr>
        <w:t>4</w:t>
      </w:r>
      <w:r>
        <w:rPr>
          <w:rFonts w:ascii="Arial" w:hAnsi="Arial" w:eastAsia="等线" w:cs="Arial"/>
        </w:rPr>
        <w:t>人，在规定时间内任选一题完成论文。</w:t>
      </w:r>
    </w:p>
    <w:p w14:paraId="58F205F7">
      <w:pPr>
        <w:numPr>
          <w:ilvl w:val="0"/>
          <w:numId w:val="58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论文结构：摘要、问题重述、问题分析、模型假设、符号说明、模型建立、模型求解、结果分析、灵敏度分析、模型改进与推广、参考文献、附录（代码等）。</w:t>
      </w:r>
    </w:p>
    <w:p w14:paraId="2293DF67">
      <w:pPr>
        <w:numPr>
          <w:ilvl w:val="0"/>
          <w:numId w:val="59"/>
        </w:num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>评分重点：模型合理性、创新性、工程适用性、算法有效性、结果可靠性、论文规范性。</w:t>
      </w:r>
    </w:p>
    <w:p w14:paraId="0ABBCA52">
      <w:pPr>
        <w:numPr>
          <w:ilvl w:val="0"/>
          <w:numId w:val="59"/>
        </w:numPr>
        <w:spacing w:before="120" w:after="120" w:line="288" w:lineRule="auto"/>
        <w:rPr>
          <w:rFonts w:hint="eastAsia" w:ascii="Arial" w:hAnsi="Arial" w:eastAsia="等线" w:cs="Arial"/>
        </w:rPr>
      </w:pPr>
      <w:r>
        <w:rPr>
          <w:rFonts w:ascii="Arial" w:hAnsi="Arial" w:eastAsia="等线" w:cs="Arial"/>
        </w:rPr>
        <w:t>论文</w:t>
      </w:r>
      <w:r>
        <w:rPr>
          <w:rFonts w:hint="eastAsia" w:ascii="Arial" w:hAnsi="Arial" w:eastAsia="等线" w:cs="Arial"/>
          <w:lang w:val="en-US" w:eastAsia="zh-CN"/>
        </w:rPr>
        <w:t>格式</w:t>
      </w:r>
      <w:r>
        <w:rPr>
          <w:rFonts w:ascii="Arial" w:hAnsi="Arial" w:eastAsia="等线" w:cs="Arial"/>
        </w:rPr>
        <w:t>要求：论文正文用5号字，标题用4号字，字体不限，论文</w:t>
      </w:r>
      <w:r>
        <w:rPr>
          <w:rFonts w:hint="eastAsia" w:ascii="Arial" w:hAnsi="Arial" w:eastAsia="等线" w:cs="Arial"/>
          <w:lang w:val="en-US" w:eastAsia="zh-CN"/>
        </w:rPr>
        <w:t>电子版</w:t>
      </w:r>
      <w:r>
        <w:rPr>
          <w:rFonts w:ascii="Arial" w:hAnsi="Arial" w:eastAsia="等线" w:cs="Arial"/>
        </w:rPr>
        <w:t>只接受pdf格式。纸质论文必须左侧装订，其他形式视为违规，</w:t>
      </w:r>
      <w:r>
        <w:rPr>
          <w:rFonts w:hint="eastAsia" w:ascii="Arial" w:hAnsi="Arial" w:eastAsia="等线" w:cs="Arial"/>
          <w:lang w:val="en-US" w:eastAsia="zh-CN"/>
        </w:rPr>
        <w:t>论文封面统一，</w:t>
      </w:r>
      <w:r>
        <w:rPr>
          <w:rFonts w:ascii="Arial" w:hAnsi="Arial" w:eastAsia="等线" w:cs="Arial"/>
        </w:rPr>
        <w:t>论文必须标注页码，页码标注方式为论文页脚中间位置，采用数字1,2,3，……。程序等论文支撑材料以附录方式放在论文后面。纸质论文不需要彩色打印。电子版以选题A（或B）+队长学号姓名命名。</w:t>
      </w:r>
    </w:p>
    <w:p w14:paraId="031EDFE1">
      <w:pPr>
        <w:numPr>
          <w:ilvl w:val="0"/>
          <w:numId w:val="0"/>
        </w:numPr>
        <w:spacing w:before="120" w:after="120" w:line="288" w:lineRule="auto"/>
        <w:rPr>
          <w:rFonts w:ascii="Arial" w:hAnsi="Arial" w:eastAsia="等线" w:cs="Arial"/>
        </w:rPr>
      </w:pPr>
    </w:p>
    <w:p w14:paraId="09B17978">
      <w:pPr>
        <w:widowControl w:val="0"/>
        <w:numPr>
          <w:ilvl w:val="0"/>
          <w:numId w:val="0"/>
        </w:numPr>
        <w:spacing w:before="120" w:after="120" w:line="288" w:lineRule="auto"/>
        <w:rPr>
          <w:rFonts w:hint="eastAsia" w:ascii="Arial" w:hAnsi="Arial" w:eastAsia="等线" w:cs="Arial"/>
        </w:rPr>
      </w:pP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D9CD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4678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019E8"/>
    <w:multiLevelType w:val="multilevel"/>
    <w:tmpl w:val="098019E8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C596AAA"/>
    <w:multiLevelType w:val="multilevel"/>
    <w:tmpl w:val="0C596AAA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F2E1B14"/>
    <w:multiLevelType w:val="multilevel"/>
    <w:tmpl w:val="0F2E1B14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1BC0748"/>
    <w:multiLevelType w:val="multilevel"/>
    <w:tmpl w:val="11BC0748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22843E7"/>
    <w:multiLevelType w:val="multilevel"/>
    <w:tmpl w:val="122843E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4EE1C8D"/>
    <w:multiLevelType w:val="multilevel"/>
    <w:tmpl w:val="14EE1C8D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17217CA3"/>
    <w:multiLevelType w:val="multilevel"/>
    <w:tmpl w:val="17217CA3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1A41737B"/>
    <w:multiLevelType w:val="multilevel"/>
    <w:tmpl w:val="1A41737B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1B787E1A"/>
    <w:multiLevelType w:val="multilevel"/>
    <w:tmpl w:val="1B787E1A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1F3267B7"/>
    <w:multiLevelType w:val="multilevel"/>
    <w:tmpl w:val="1F3267B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1FFA7AD8"/>
    <w:multiLevelType w:val="multilevel"/>
    <w:tmpl w:val="1FFA7AD8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219D40D5"/>
    <w:multiLevelType w:val="multilevel"/>
    <w:tmpl w:val="219D40D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2407565E"/>
    <w:multiLevelType w:val="multilevel"/>
    <w:tmpl w:val="2407565E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248A7369"/>
    <w:multiLevelType w:val="multilevel"/>
    <w:tmpl w:val="248A736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274A7B19"/>
    <w:multiLevelType w:val="multilevel"/>
    <w:tmpl w:val="274A7B1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278605B4"/>
    <w:multiLevelType w:val="multilevel"/>
    <w:tmpl w:val="278605B4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28A57E9A"/>
    <w:multiLevelType w:val="multilevel"/>
    <w:tmpl w:val="28A57E9A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2CCE04AB"/>
    <w:multiLevelType w:val="multilevel"/>
    <w:tmpl w:val="2CCE04AB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2CD81B03"/>
    <w:multiLevelType w:val="multilevel"/>
    <w:tmpl w:val="2CD81B03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34C80F78"/>
    <w:multiLevelType w:val="multilevel"/>
    <w:tmpl w:val="34C80F78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36CD1A91"/>
    <w:multiLevelType w:val="multilevel"/>
    <w:tmpl w:val="36CD1A91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38056302"/>
    <w:multiLevelType w:val="multilevel"/>
    <w:tmpl w:val="38056302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2">
    <w:nsid w:val="3A9C2CB1"/>
    <w:multiLevelType w:val="multilevel"/>
    <w:tmpl w:val="3A9C2CB1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3">
    <w:nsid w:val="3AC2576F"/>
    <w:multiLevelType w:val="multilevel"/>
    <w:tmpl w:val="3AC2576F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4">
    <w:nsid w:val="3B2E223E"/>
    <w:multiLevelType w:val="multilevel"/>
    <w:tmpl w:val="3B2E223E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5">
    <w:nsid w:val="3EC2568C"/>
    <w:multiLevelType w:val="multilevel"/>
    <w:tmpl w:val="3EC2568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6">
    <w:nsid w:val="415B063B"/>
    <w:multiLevelType w:val="multilevel"/>
    <w:tmpl w:val="415B063B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7">
    <w:nsid w:val="46E04684"/>
    <w:multiLevelType w:val="multilevel"/>
    <w:tmpl w:val="46E04684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8">
    <w:nsid w:val="47D20BE6"/>
    <w:multiLevelType w:val="multilevel"/>
    <w:tmpl w:val="47D20BE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9">
    <w:nsid w:val="487C06C7"/>
    <w:multiLevelType w:val="multilevel"/>
    <w:tmpl w:val="487C06C7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0">
    <w:nsid w:val="492D00CD"/>
    <w:multiLevelType w:val="multilevel"/>
    <w:tmpl w:val="492D00CD"/>
    <w:lvl w:ilvl="0" w:tentative="0">
      <w:start w:val="5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1">
    <w:nsid w:val="4E211629"/>
    <w:multiLevelType w:val="multilevel"/>
    <w:tmpl w:val="4E21162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2">
    <w:nsid w:val="4F8A307E"/>
    <w:multiLevelType w:val="multilevel"/>
    <w:tmpl w:val="4F8A307E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3">
    <w:nsid w:val="4FB651E8"/>
    <w:multiLevelType w:val="multilevel"/>
    <w:tmpl w:val="4FB651E8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4">
    <w:nsid w:val="50865CE1"/>
    <w:multiLevelType w:val="multilevel"/>
    <w:tmpl w:val="50865CE1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5">
    <w:nsid w:val="53C43FE1"/>
    <w:multiLevelType w:val="multilevel"/>
    <w:tmpl w:val="53C43FE1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6">
    <w:nsid w:val="57EB2C25"/>
    <w:multiLevelType w:val="multilevel"/>
    <w:tmpl w:val="57EB2C25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7">
    <w:nsid w:val="58B01582"/>
    <w:multiLevelType w:val="multilevel"/>
    <w:tmpl w:val="58B01582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8">
    <w:nsid w:val="590C6866"/>
    <w:multiLevelType w:val="multilevel"/>
    <w:tmpl w:val="590C6866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9">
    <w:nsid w:val="5A110A1C"/>
    <w:multiLevelType w:val="multilevel"/>
    <w:tmpl w:val="5A110A1C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0">
    <w:nsid w:val="5F032EDE"/>
    <w:multiLevelType w:val="multilevel"/>
    <w:tmpl w:val="5F032EDE"/>
    <w:lvl w:ilvl="0" w:tentative="0">
      <w:start w:val="5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1">
    <w:nsid w:val="6337050E"/>
    <w:multiLevelType w:val="multilevel"/>
    <w:tmpl w:val="6337050E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2">
    <w:nsid w:val="643A4AEA"/>
    <w:multiLevelType w:val="multilevel"/>
    <w:tmpl w:val="643A4AEA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3">
    <w:nsid w:val="647515D9"/>
    <w:multiLevelType w:val="multilevel"/>
    <w:tmpl w:val="647515D9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4">
    <w:nsid w:val="66150128"/>
    <w:multiLevelType w:val="multilevel"/>
    <w:tmpl w:val="66150128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5">
    <w:nsid w:val="680A0CA5"/>
    <w:multiLevelType w:val="multilevel"/>
    <w:tmpl w:val="680A0CA5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6">
    <w:nsid w:val="682C3C2F"/>
    <w:multiLevelType w:val="multilevel"/>
    <w:tmpl w:val="682C3C2F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7">
    <w:nsid w:val="68915994"/>
    <w:multiLevelType w:val="multilevel"/>
    <w:tmpl w:val="68915994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8">
    <w:nsid w:val="6B963495"/>
    <w:multiLevelType w:val="multilevel"/>
    <w:tmpl w:val="6B96349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9">
    <w:nsid w:val="6EB85BED"/>
    <w:multiLevelType w:val="multilevel"/>
    <w:tmpl w:val="6EB85BED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0">
    <w:nsid w:val="6F7C4952"/>
    <w:multiLevelType w:val="multilevel"/>
    <w:tmpl w:val="6F7C4952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1">
    <w:nsid w:val="6F9D1BA6"/>
    <w:multiLevelType w:val="multilevel"/>
    <w:tmpl w:val="6F9D1BA6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2">
    <w:nsid w:val="724B0016"/>
    <w:multiLevelType w:val="multilevel"/>
    <w:tmpl w:val="724B0016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3">
    <w:nsid w:val="725274CB"/>
    <w:multiLevelType w:val="multilevel"/>
    <w:tmpl w:val="725274CB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4">
    <w:nsid w:val="739606A4"/>
    <w:multiLevelType w:val="multilevel"/>
    <w:tmpl w:val="739606A4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5">
    <w:nsid w:val="77ED1D45"/>
    <w:multiLevelType w:val="multilevel"/>
    <w:tmpl w:val="77ED1D45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6">
    <w:nsid w:val="793250D0"/>
    <w:multiLevelType w:val="multilevel"/>
    <w:tmpl w:val="793250D0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7">
    <w:nsid w:val="7B5238FF"/>
    <w:multiLevelType w:val="multilevel"/>
    <w:tmpl w:val="7B5238FF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8">
    <w:nsid w:val="7D52781A"/>
    <w:multiLevelType w:val="multilevel"/>
    <w:tmpl w:val="7D52781A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1"/>
  </w:num>
  <w:num w:numId="2">
    <w:abstractNumId w:val="20"/>
  </w:num>
  <w:num w:numId="3">
    <w:abstractNumId w:val="49"/>
  </w:num>
  <w:num w:numId="4">
    <w:abstractNumId w:val="1"/>
  </w:num>
  <w:num w:numId="5">
    <w:abstractNumId w:val="32"/>
  </w:num>
  <w:num w:numId="6">
    <w:abstractNumId w:val="33"/>
  </w:num>
  <w:num w:numId="7">
    <w:abstractNumId w:val="7"/>
  </w:num>
  <w:num w:numId="8">
    <w:abstractNumId w:val="46"/>
  </w:num>
  <w:num w:numId="9">
    <w:abstractNumId w:val="25"/>
  </w:num>
  <w:num w:numId="10">
    <w:abstractNumId w:val="51"/>
  </w:num>
  <w:num w:numId="11">
    <w:abstractNumId w:val="48"/>
  </w:num>
  <w:num w:numId="12">
    <w:abstractNumId w:val="19"/>
  </w:num>
  <w:num w:numId="13">
    <w:abstractNumId w:val="10"/>
  </w:num>
  <w:num w:numId="14">
    <w:abstractNumId w:val="27"/>
  </w:num>
  <w:num w:numId="15">
    <w:abstractNumId w:val="53"/>
  </w:num>
  <w:num w:numId="16">
    <w:abstractNumId w:val="52"/>
  </w:num>
  <w:num w:numId="17">
    <w:abstractNumId w:val="40"/>
  </w:num>
  <w:num w:numId="18">
    <w:abstractNumId w:val="45"/>
  </w:num>
  <w:num w:numId="19">
    <w:abstractNumId w:val="12"/>
  </w:num>
  <w:num w:numId="20">
    <w:abstractNumId w:val="58"/>
  </w:num>
  <w:num w:numId="21">
    <w:abstractNumId w:val="6"/>
  </w:num>
  <w:num w:numId="22">
    <w:abstractNumId w:val="13"/>
  </w:num>
  <w:num w:numId="23">
    <w:abstractNumId w:val="15"/>
  </w:num>
  <w:num w:numId="24">
    <w:abstractNumId w:val="55"/>
  </w:num>
  <w:num w:numId="25">
    <w:abstractNumId w:val="41"/>
  </w:num>
  <w:num w:numId="26">
    <w:abstractNumId w:val="26"/>
  </w:num>
  <w:num w:numId="27">
    <w:abstractNumId w:val="9"/>
  </w:num>
  <w:num w:numId="28">
    <w:abstractNumId w:val="35"/>
  </w:num>
  <w:num w:numId="29">
    <w:abstractNumId w:val="4"/>
  </w:num>
  <w:num w:numId="30">
    <w:abstractNumId w:val="3"/>
  </w:num>
  <w:num w:numId="31">
    <w:abstractNumId w:val="17"/>
  </w:num>
  <w:num w:numId="32">
    <w:abstractNumId w:val="18"/>
  </w:num>
  <w:num w:numId="33">
    <w:abstractNumId w:val="16"/>
  </w:num>
  <w:num w:numId="34">
    <w:abstractNumId w:val="43"/>
  </w:num>
  <w:num w:numId="35">
    <w:abstractNumId w:val="57"/>
  </w:num>
  <w:num w:numId="36">
    <w:abstractNumId w:val="44"/>
  </w:num>
  <w:num w:numId="37">
    <w:abstractNumId w:val="30"/>
  </w:num>
  <w:num w:numId="38">
    <w:abstractNumId w:val="50"/>
  </w:num>
  <w:num w:numId="39">
    <w:abstractNumId w:val="21"/>
  </w:num>
  <w:num w:numId="40">
    <w:abstractNumId w:val="8"/>
  </w:num>
  <w:num w:numId="41">
    <w:abstractNumId w:val="36"/>
  </w:num>
  <w:num w:numId="42">
    <w:abstractNumId w:val="23"/>
  </w:num>
  <w:num w:numId="43">
    <w:abstractNumId w:val="54"/>
  </w:num>
  <w:num w:numId="44">
    <w:abstractNumId w:val="24"/>
  </w:num>
  <w:num w:numId="45">
    <w:abstractNumId w:val="34"/>
  </w:num>
  <w:num w:numId="46">
    <w:abstractNumId w:val="39"/>
  </w:num>
  <w:num w:numId="47">
    <w:abstractNumId w:val="22"/>
  </w:num>
  <w:num w:numId="48">
    <w:abstractNumId w:val="0"/>
  </w:num>
  <w:num w:numId="49">
    <w:abstractNumId w:val="47"/>
  </w:num>
  <w:num w:numId="50">
    <w:abstractNumId w:val="31"/>
  </w:num>
  <w:num w:numId="51">
    <w:abstractNumId w:val="14"/>
  </w:num>
  <w:num w:numId="52">
    <w:abstractNumId w:val="2"/>
  </w:num>
  <w:num w:numId="53">
    <w:abstractNumId w:val="42"/>
  </w:num>
  <w:num w:numId="54">
    <w:abstractNumId w:val="28"/>
  </w:num>
  <w:num w:numId="55">
    <w:abstractNumId w:val="56"/>
  </w:num>
  <w:num w:numId="56">
    <w:abstractNumId w:val="5"/>
  </w:num>
  <w:num w:numId="57">
    <w:abstractNumId w:val="38"/>
  </w:num>
  <w:num w:numId="58">
    <w:abstractNumId w:val="29"/>
  </w:num>
  <w:num w:numId="5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5C"/>
    <w:rsid w:val="00152E5C"/>
    <w:rsid w:val="002906FA"/>
    <w:rsid w:val="002A77B6"/>
    <w:rsid w:val="00327E73"/>
    <w:rsid w:val="00645BEA"/>
    <w:rsid w:val="00AA142B"/>
    <w:rsid w:val="00C73433"/>
    <w:rsid w:val="00D17B00"/>
    <w:rsid w:val="0100366C"/>
    <w:rsid w:val="203A744D"/>
    <w:rsid w:val="440D331A"/>
    <w:rsid w:val="49E222FC"/>
    <w:rsid w:val="7D72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2612</Words>
  <Characters>3062</Characters>
  <Lines>201</Lines>
  <Paragraphs>219</Paragraphs>
  <TotalTime>39</TotalTime>
  <ScaleCrop>false</ScaleCrop>
  <LinksUpToDate>false</LinksUpToDate>
  <CharactersWithSpaces>3080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2026-04-05T02:24:00Z</dcterms:created>
  <dc:creator>Apache POI</dc:creator>
  <cp:lastModifiedBy>荒</cp:lastModifiedBy>
  <dcterms:modified xsi:type="dcterms:W3CDTF">2026-04-17T07:47:32Z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eyJoZGlkIjoiZmRkMzI1M2UzNzQ2NDk4ZTI1M2UzYmFjODc3MWYxOGMiLCJ1c2VySWQiOiI2NzE1MjkwNjUifQ==</vt:lpwstr>
  </property>
  <property fmtid="{D5CDD505-2E9C-101B-9397-08002B2CF9AE}" pid="3" name="KSOProductBuildVer">
    <vt:lpwstr>2052-12.1.0.25222</vt:lpwstr>
  </property>
  <property fmtid="{D5CDD505-2E9C-101B-9397-08002B2CF9AE}" pid="4" name="ICV">
    <vt:lpwstr>D181419F390540A2B0FB3CDE13E5B0F9_13</vt:lpwstr>
  </property>
</Properties>
</file>